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13592" w14:textId="3A8A75BC" w:rsidR="001E55B2" w:rsidRPr="00DD270A" w:rsidRDefault="000143C2">
      <w:pPr>
        <w:rPr>
          <w:b/>
          <w:bCs/>
          <w:color w:val="FF0000"/>
        </w:rPr>
      </w:pPr>
      <w:r w:rsidRPr="00DD270A">
        <w:rPr>
          <w:b/>
          <w:bCs/>
          <w:color w:val="FF0000"/>
        </w:rPr>
        <w:t>Corrigé Semaine</w:t>
      </w:r>
      <w:r w:rsidR="005C5001">
        <w:rPr>
          <w:b/>
          <w:bCs/>
          <w:color w:val="FF0000"/>
        </w:rPr>
        <w:t xml:space="preserve"> </w:t>
      </w:r>
      <w:r w:rsidR="00D91558">
        <w:rPr>
          <w:b/>
          <w:bCs/>
          <w:color w:val="FF0000"/>
        </w:rPr>
        <w:t>4</w:t>
      </w:r>
      <w:r w:rsidRPr="00DD270A">
        <w:rPr>
          <w:b/>
          <w:bCs/>
          <w:color w:val="FF0000"/>
        </w:rPr>
        <w:t xml:space="preserve">  T2 implication 1</w:t>
      </w:r>
      <w:r w:rsidRPr="00DD270A">
        <w:rPr>
          <w:b/>
          <w:bCs/>
          <w:color w:val="FF0000"/>
          <w:vertAlign w:val="superscript"/>
        </w:rPr>
        <w:t>ère</w:t>
      </w:r>
      <w:r w:rsidRPr="00DD270A">
        <w:rPr>
          <w:b/>
          <w:bCs/>
          <w:color w:val="FF0000"/>
        </w:rPr>
        <w:t xml:space="preserve">  </w:t>
      </w:r>
    </w:p>
    <w:tbl>
      <w:tblPr>
        <w:tblStyle w:val="Grilledutableau"/>
        <w:tblW w:w="14727"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516"/>
        <w:gridCol w:w="8211"/>
      </w:tblGrid>
      <w:tr w:rsidR="000143C2" w14:paraId="01CE08E2" w14:textId="77777777" w:rsidTr="00B26CC1">
        <w:trPr>
          <w:jc w:val="center"/>
        </w:trPr>
        <w:tc>
          <w:tcPr>
            <w:tcW w:w="6516" w:type="dxa"/>
            <w:tcBorders>
              <w:right w:val="thinThickSmallGap" w:sz="24" w:space="0" w:color="auto"/>
            </w:tcBorders>
          </w:tcPr>
          <w:p w14:paraId="5AA46607" w14:textId="77777777" w:rsidR="00001E79" w:rsidRPr="00793E59" w:rsidRDefault="00001E79">
            <w:pPr>
              <w:rPr>
                <w:sz w:val="6"/>
                <w:szCs w:val="6"/>
              </w:rPr>
            </w:pPr>
          </w:p>
          <w:p w14:paraId="00D6E170" w14:textId="36C9112B" w:rsidR="000143C2" w:rsidRDefault="000143C2">
            <w:r w:rsidRPr="000143C2">
              <w:rPr>
                <w:noProof/>
              </w:rPr>
              <w:drawing>
                <wp:inline distT="0" distB="0" distL="0" distR="0" wp14:anchorId="0451731B" wp14:editId="5ADD2563">
                  <wp:extent cx="4000500" cy="5980430"/>
                  <wp:effectExtent l="0" t="0" r="0" b="1270"/>
                  <wp:docPr id="15180740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74034"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4034533" cy="6031307"/>
                          </a:xfrm>
                          <a:prstGeom prst="rect">
                            <a:avLst/>
                          </a:prstGeom>
                        </pic:spPr>
                      </pic:pic>
                    </a:graphicData>
                  </a:graphic>
                </wp:inline>
              </w:drawing>
            </w:r>
          </w:p>
        </w:tc>
        <w:tc>
          <w:tcPr>
            <w:tcW w:w="8211" w:type="dxa"/>
            <w:tcBorders>
              <w:left w:val="thinThickSmallGap" w:sz="24" w:space="0" w:color="auto"/>
            </w:tcBorders>
          </w:tcPr>
          <w:p w14:paraId="2046EF6E" w14:textId="77777777" w:rsidR="000143C2" w:rsidRPr="00793E59" w:rsidRDefault="000143C2">
            <w:pPr>
              <w:rPr>
                <w:b/>
                <w:bCs/>
                <w:u w:val="single"/>
              </w:rPr>
            </w:pPr>
            <w:r w:rsidRPr="00793E59">
              <w:rPr>
                <w:b/>
                <w:bCs/>
                <w:u w:val="single"/>
              </w:rPr>
              <w:t xml:space="preserve">Questions : </w:t>
            </w:r>
          </w:p>
          <w:p w14:paraId="545CEBC0" w14:textId="77777777" w:rsidR="000143C2" w:rsidRPr="00001E79" w:rsidRDefault="000143C2">
            <w:pPr>
              <w:rPr>
                <w:sz w:val="6"/>
                <w:szCs w:val="6"/>
              </w:rPr>
            </w:pPr>
          </w:p>
          <w:p w14:paraId="5B3D18A1" w14:textId="77777777" w:rsidR="00793E59" w:rsidRPr="00793E59" w:rsidRDefault="000143C2" w:rsidP="000143C2">
            <w:pPr>
              <w:pStyle w:val="Paragraphedeliste"/>
              <w:numPr>
                <w:ilvl w:val="0"/>
                <w:numId w:val="1"/>
              </w:numPr>
              <w:rPr>
                <w:color w:val="833C0B" w:themeColor="accent2" w:themeShade="80"/>
              </w:rPr>
            </w:pPr>
            <w:r w:rsidRPr="00DD270A">
              <w:rPr>
                <w:b/>
                <w:bCs/>
                <w:color w:val="833C0B" w:themeColor="accent2" w:themeShade="80"/>
                <w:u w:val="single"/>
              </w:rPr>
              <w:t>A l’aide du document, comparez les évolutions du PIB et des</w:t>
            </w:r>
          </w:p>
          <w:p w14:paraId="01E320E9" w14:textId="7710D15F" w:rsidR="000143C2" w:rsidRPr="00793E59" w:rsidRDefault="000143C2" w:rsidP="00793E59">
            <w:pPr>
              <w:rPr>
                <w:color w:val="833C0B" w:themeColor="accent2" w:themeShade="80"/>
              </w:rPr>
            </w:pPr>
            <w:r w:rsidRPr="00793E59">
              <w:rPr>
                <w:b/>
                <w:bCs/>
                <w:color w:val="833C0B" w:themeColor="accent2" w:themeShade="80"/>
                <w:u w:val="single"/>
              </w:rPr>
              <w:t xml:space="preserve"> émissions de gaz à effet de serre (GES) sur la période 1990-2016.</w:t>
            </w:r>
            <w:r w:rsidRPr="00793E59">
              <w:rPr>
                <w:color w:val="833C0B" w:themeColor="accent2" w:themeShade="80"/>
              </w:rPr>
              <w:t xml:space="preserve"> </w:t>
            </w:r>
          </w:p>
          <w:p w14:paraId="1A0360FD" w14:textId="593DB7A9" w:rsidR="000143C2" w:rsidRPr="00793E59" w:rsidRDefault="000143C2" w:rsidP="000143C2">
            <w:pPr>
              <w:rPr>
                <w:i/>
                <w:iCs/>
                <w:sz w:val="24"/>
                <w:szCs w:val="24"/>
              </w:rPr>
            </w:pPr>
            <w:r w:rsidRPr="000143C2">
              <w:rPr>
                <w:i/>
                <w:iCs/>
              </w:rPr>
              <w:t xml:space="preserve">     </w:t>
            </w:r>
            <w:r w:rsidRPr="00793E59">
              <w:rPr>
                <w:i/>
                <w:iCs/>
                <w:sz w:val="24"/>
                <w:szCs w:val="24"/>
              </w:rPr>
              <w:t>En 2019 France Stratégie publie un document dont l’objet porte sur les émissions de gaz à effet de serre (GES) et le PIB en France. La période concernée va de 1990 à 2016</w:t>
            </w:r>
            <w:r w:rsidR="00793E59" w:rsidRPr="00793E59">
              <w:rPr>
                <w:i/>
                <w:iCs/>
                <w:sz w:val="24"/>
                <w:szCs w:val="24"/>
              </w:rPr>
              <w:t xml:space="preserve"> </w:t>
            </w:r>
            <w:r w:rsidR="00793E59">
              <w:rPr>
                <w:i/>
                <w:iCs/>
                <w:sz w:val="24"/>
                <w:szCs w:val="24"/>
              </w:rPr>
              <w:t>apport</w:t>
            </w:r>
            <w:r w:rsidR="00793E59" w:rsidRPr="00793E59">
              <w:rPr>
                <w:i/>
                <w:iCs/>
                <w:sz w:val="24"/>
                <w:szCs w:val="24"/>
              </w:rPr>
              <w:t xml:space="preserve">ant des informations de long terme. </w:t>
            </w:r>
          </w:p>
          <w:p w14:paraId="112EC9C6" w14:textId="291CE486" w:rsidR="000143C2" w:rsidRPr="00793E59" w:rsidRDefault="000143C2" w:rsidP="000143C2">
            <w:pPr>
              <w:rPr>
                <w:i/>
                <w:iCs/>
                <w:sz w:val="24"/>
                <w:szCs w:val="24"/>
              </w:rPr>
            </w:pPr>
            <w:r w:rsidRPr="00793E59">
              <w:rPr>
                <w:i/>
                <w:iCs/>
                <w:sz w:val="24"/>
                <w:szCs w:val="24"/>
              </w:rPr>
              <w:t xml:space="preserve">     </w:t>
            </w:r>
            <w:r w:rsidR="00C9153D" w:rsidRPr="00793E59">
              <w:rPr>
                <w:i/>
                <w:iCs/>
                <w:sz w:val="24"/>
                <w:szCs w:val="24"/>
              </w:rPr>
              <w:t xml:space="preserve">Le graphique proposé est construit à partir </w:t>
            </w:r>
            <w:r w:rsidR="00C9153D" w:rsidRPr="00793E59">
              <w:rPr>
                <w:b/>
                <w:bCs/>
                <w:i/>
                <w:iCs/>
                <w:sz w:val="24"/>
                <w:szCs w:val="24"/>
              </w:rPr>
              <w:t>d’indices dynamiques</w:t>
            </w:r>
            <w:r w:rsidR="00C9153D" w:rsidRPr="00793E59">
              <w:rPr>
                <w:i/>
                <w:iCs/>
                <w:sz w:val="24"/>
                <w:szCs w:val="24"/>
              </w:rPr>
              <w:t xml:space="preserve"> base 100 en 1990. Cet outil statistique </w:t>
            </w:r>
            <w:r w:rsidR="00A253C9" w:rsidRPr="00793E59">
              <w:rPr>
                <w:i/>
                <w:iCs/>
                <w:sz w:val="24"/>
                <w:szCs w:val="24"/>
              </w:rPr>
              <w:t>est un nombre sans dimension mais qui pour sa lecture se rapproche d’un taux de variation</w:t>
            </w:r>
            <w:r w:rsidR="00013299" w:rsidRPr="00793E59">
              <w:rPr>
                <w:i/>
                <w:iCs/>
                <w:sz w:val="24"/>
                <w:szCs w:val="24"/>
              </w:rPr>
              <w:t xml:space="preserve"> avec la spécificité d’être</w:t>
            </w:r>
            <w:r w:rsidR="00A645F9" w:rsidRPr="00793E59">
              <w:rPr>
                <w:i/>
                <w:iCs/>
                <w:sz w:val="24"/>
                <w:szCs w:val="24"/>
              </w:rPr>
              <w:t xml:space="preserve"> un </w:t>
            </w:r>
            <w:r w:rsidR="00A645F9" w:rsidRPr="00793E59">
              <w:rPr>
                <w:b/>
                <w:bCs/>
                <w:i/>
                <w:iCs/>
                <w:sz w:val="24"/>
                <w:szCs w:val="24"/>
              </w:rPr>
              <w:t>indicateur de tendance</w:t>
            </w:r>
            <w:r w:rsidR="00B12F64" w:rsidRPr="00793E59">
              <w:rPr>
                <w:i/>
                <w:iCs/>
                <w:sz w:val="24"/>
                <w:szCs w:val="24"/>
              </w:rPr>
              <w:t>. Ainsi</w:t>
            </w:r>
            <w:r w:rsidR="00A645F9" w:rsidRPr="00793E59">
              <w:rPr>
                <w:i/>
                <w:iCs/>
                <w:sz w:val="24"/>
                <w:szCs w:val="24"/>
              </w:rPr>
              <w:t xml:space="preserve">, </w:t>
            </w:r>
            <w:r w:rsidR="00B12F64" w:rsidRPr="00793E59">
              <w:rPr>
                <w:i/>
                <w:iCs/>
                <w:sz w:val="24"/>
                <w:szCs w:val="24"/>
              </w:rPr>
              <w:t>sans donner de niveaux</w:t>
            </w:r>
            <w:r w:rsidR="00A645F9" w:rsidRPr="00793E59">
              <w:rPr>
                <w:i/>
                <w:iCs/>
                <w:sz w:val="24"/>
                <w:szCs w:val="24"/>
              </w:rPr>
              <w:t>,</w:t>
            </w:r>
            <w:r w:rsidR="00B12F64" w:rsidRPr="00793E59">
              <w:rPr>
                <w:i/>
                <w:iCs/>
                <w:sz w:val="24"/>
                <w:szCs w:val="24"/>
              </w:rPr>
              <w:t xml:space="preserve"> il indiquera le sens d’évolution par rapport à la situation de base et aussi le rythme de l’évolution</w:t>
            </w:r>
            <w:r w:rsidR="002C6FCC" w:rsidRPr="00793E59">
              <w:rPr>
                <w:i/>
                <w:iCs/>
                <w:sz w:val="24"/>
                <w:szCs w:val="24"/>
              </w:rPr>
              <w:t>.</w:t>
            </w:r>
            <w:r w:rsidR="00F461FE" w:rsidRPr="00793E59">
              <w:rPr>
                <w:i/>
                <w:iCs/>
                <w:sz w:val="24"/>
                <w:szCs w:val="24"/>
              </w:rPr>
              <w:t xml:space="preserve"> Il </w:t>
            </w:r>
            <w:r w:rsidR="00324AA5" w:rsidRPr="00793E59">
              <w:rPr>
                <w:i/>
                <w:iCs/>
                <w:sz w:val="24"/>
                <w:szCs w:val="24"/>
              </w:rPr>
              <w:t>s’interprète en %.</w:t>
            </w:r>
          </w:p>
          <w:p w14:paraId="0FC7DC0D" w14:textId="0151A443" w:rsidR="00B26CC1" w:rsidRDefault="002C6FCC" w:rsidP="000143C2">
            <w:pPr>
              <w:rPr>
                <w:i/>
                <w:iCs/>
                <w:sz w:val="24"/>
                <w:szCs w:val="24"/>
              </w:rPr>
            </w:pPr>
            <w:r w:rsidRPr="00793E59">
              <w:rPr>
                <w:i/>
                <w:iCs/>
                <w:sz w:val="24"/>
                <w:szCs w:val="24"/>
              </w:rPr>
              <w:t xml:space="preserve">     </w:t>
            </w:r>
            <w:r w:rsidRPr="00B26CC1">
              <w:rPr>
                <w:b/>
                <w:bCs/>
                <w:i/>
                <w:iCs/>
                <w:sz w:val="24"/>
                <w:szCs w:val="24"/>
              </w:rPr>
              <w:t xml:space="preserve">Si </w:t>
            </w:r>
            <w:r w:rsidRPr="00793E59">
              <w:rPr>
                <w:i/>
                <w:iCs/>
                <w:sz w:val="24"/>
                <w:szCs w:val="24"/>
              </w:rPr>
              <w:t xml:space="preserve">on compare les émissions de GES et le PIB </w:t>
            </w:r>
            <w:r w:rsidR="00102E68" w:rsidRPr="00793E59">
              <w:rPr>
                <w:i/>
                <w:iCs/>
                <w:sz w:val="24"/>
                <w:szCs w:val="24"/>
              </w:rPr>
              <w:t xml:space="preserve">on doit distinguer 3 temps plus ou moins long et ceci </w:t>
            </w:r>
            <w:r w:rsidR="00102E68" w:rsidRPr="00B26CC1">
              <w:rPr>
                <w:b/>
                <w:bCs/>
                <w:i/>
                <w:iCs/>
                <w:sz w:val="24"/>
                <w:szCs w:val="24"/>
              </w:rPr>
              <w:t>de façon assez chronologique</w:t>
            </w:r>
            <w:r w:rsidR="00B26CC1">
              <w:rPr>
                <w:i/>
                <w:iCs/>
                <w:sz w:val="24"/>
                <w:szCs w:val="24"/>
              </w:rPr>
              <w:t>*</w:t>
            </w:r>
            <w:r w:rsidR="00102E68" w:rsidRPr="00793E59">
              <w:rPr>
                <w:i/>
                <w:iCs/>
                <w:sz w:val="24"/>
                <w:szCs w:val="24"/>
              </w:rPr>
              <w:t xml:space="preserve">. </w:t>
            </w:r>
            <w:r w:rsidR="000677CA" w:rsidRPr="00793E59">
              <w:rPr>
                <w:i/>
                <w:iCs/>
                <w:sz w:val="24"/>
                <w:szCs w:val="24"/>
              </w:rPr>
              <w:t xml:space="preserve">Le </w:t>
            </w:r>
            <w:r w:rsidR="001C7A59" w:rsidRPr="00793E59">
              <w:rPr>
                <w:i/>
                <w:iCs/>
                <w:sz w:val="24"/>
                <w:szCs w:val="24"/>
              </w:rPr>
              <w:t xml:space="preserve">premier concerne les deux premières années où les émissions de GES progressent plus vite que le PIB </w:t>
            </w:r>
            <w:r w:rsidR="00392C30" w:rsidRPr="00793E59">
              <w:rPr>
                <w:i/>
                <w:iCs/>
                <w:sz w:val="24"/>
                <w:szCs w:val="24"/>
              </w:rPr>
              <w:t xml:space="preserve">da </w:t>
            </w:r>
            <w:r w:rsidR="00013299" w:rsidRPr="00793E59">
              <w:rPr>
                <w:i/>
                <w:iCs/>
                <w:sz w:val="24"/>
                <w:szCs w:val="24"/>
              </w:rPr>
              <w:t xml:space="preserve">France. </w:t>
            </w:r>
          </w:p>
          <w:p w14:paraId="2973CEB2" w14:textId="14082E12" w:rsidR="00B26CC1" w:rsidRDefault="00013299" w:rsidP="000143C2">
            <w:pPr>
              <w:rPr>
                <w:i/>
                <w:iCs/>
                <w:sz w:val="24"/>
                <w:szCs w:val="24"/>
              </w:rPr>
            </w:pPr>
            <w:r w:rsidRPr="00B26CC1">
              <w:rPr>
                <w:b/>
                <w:bCs/>
                <w:i/>
                <w:iCs/>
                <w:sz w:val="24"/>
                <w:szCs w:val="24"/>
              </w:rPr>
              <w:t>Puis</w:t>
            </w:r>
            <w:r w:rsidR="00BB495E" w:rsidRPr="00793E59">
              <w:rPr>
                <w:i/>
                <w:iCs/>
                <w:sz w:val="24"/>
                <w:szCs w:val="24"/>
              </w:rPr>
              <w:t xml:space="preserve">, dans un deuxième temps, </w:t>
            </w:r>
            <w:r w:rsidRPr="00793E59">
              <w:rPr>
                <w:i/>
                <w:iCs/>
                <w:sz w:val="24"/>
                <w:szCs w:val="24"/>
              </w:rPr>
              <w:t xml:space="preserve">tandis que </w:t>
            </w:r>
            <w:r w:rsidR="003760A7" w:rsidRPr="00793E59">
              <w:rPr>
                <w:i/>
                <w:iCs/>
                <w:sz w:val="24"/>
                <w:szCs w:val="24"/>
              </w:rPr>
              <w:t xml:space="preserve">le PIB tend à poursuivre son augmentation </w:t>
            </w:r>
            <w:r w:rsidR="00566D88" w:rsidRPr="00793E59">
              <w:rPr>
                <w:i/>
                <w:iCs/>
                <w:sz w:val="24"/>
                <w:szCs w:val="24"/>
              </w:rPr>
              <w:t>[</w:t>
            </w:r>
            <w:r w:rsidR="00FA44FF" w:rsidRPr="00793E59">
              <w:rPr>
                <w:i/>
                <w:iCs/>
                <w:sz w:val="24"/>
                <w:szCs w:val="24"/>
              </w:rPr>
              <w:t xml:space="preserve">jusqu’à </w:t>
            </w:r>
            <w:r w:rsidR="004C4CC4" w:rsidRPr="00793E59">
              <w:rPr>
                <w:i/>
                <w:iCs/>
                <w:sz w:val="24"/>
                <w:szCs w:val="24"/>
              </w:rPr>
              <w:t>+</w:t>
            </w:r>
            <w:r w:rsidR="00793E59">
              <w:rPr>
                <w:i/>
                <w:iCs/>
                <w:sz w:val="24"/>
                <w:szCs w:val="24"/>
              </w:rPr>
              <w:t>4</w:t>
            </w:r>
            <w:r w:rsidR="004C4CC4" w:rsidRPr="00793E59">
              <w:rPr>
                <w:i/>
                <w:iCs/>
                <w:sz w:val="24"/>
                <w:szCs w:val="24"/>
              </w:rPr>
              <w:t>0</w:t>
            </w:r>
            <w:r w:rsidR="00D91558" w:rsidRPr="00793E59">
              <w:rPr>
                <w:i/>
                <w:iCs/>
                <w:sz w:val="24"/>
                <w:szCs w:val="24"/>
              </w:rPr>
              <w:t xml:space="preserve"> </w:t>
            </w:r>
            <w:r w:rsidR="004C4CC4" w:rsidRPr="00793E59">
              <w:rPr>
                <w:i/>
                <w:iCs/>
                <w:sz w:val="24"/>
                <w:szCs w:val="24"/>
              </w:rPr>
              <w:t xml:space="preserve">% en </w:t>
            </w:r>
            <w:r w:rsidR="00793E59">
              <w:rPr>
                <w:i/>
                <w:iCs/>
                <w:sz w:val="24"/>
                <w:szCs w:val="24"/>
              </w:rPr>
              <w:t>16</w:t>
            </w:r>
            <w:r w:rsidR="004C4CC4" w:rsidRPr="00793E59">
              <w:rPr>
                <w:i/>
                <w:iCs/>
                <w:sz w:val="24"/>
                <w:szCs w:val="24"/>
              </w:rPr>
              <w:t xml:space="preserve"> ans (</w:t>
            </w:r>
            <w:r w:rsidR="00793E59">
              <w:rPr>
                <w:i/>
                <w:iCs/>
                <w:sz w:val="24"/>
                <w:szCs w:val="24"/>
              </w:rPr>
              <w:t>1990</w:t>
            </w:r>
            <w:r w:rsidR="004C4CC4" w:rsidRPr="00793E59">
              <w:rPr>
                <w:i/>
                <w:iCs/>
                <w:sz w:val="24"/>
                <w:szCs w:val="24"/>
              </w:rPr>
              <w:t xml:space="preserve"> -20</w:t>
            </w:r>
            <w:r w:rsidR="00793E59">
              <w:rPr>
                <w:i/>
                <w:iCs/>
                <w:sz w:val="24"/>
                <w:szCs w:val="24"/>
              </w:rPr>
              <w:t>06</w:t>
            </w:r>
            <w:r w:rsidR="004C4CC4" w:rsidRPr="00793E59">
              <w:rPr>
                <w:i/>
                <w:iCs/>
                <w:sz w:val="24"/>
                <w:szCs w:val="24"/>
              </w:rPr>
              <w:t>)</w:t>
            </w:r>
            <w:r w:rsidR="00B26CC1">
              <w:rPr>
                <w:i/>
                <w:iCs/>
                <w:sz w:val="24"/>
                <w:szCs w:val="24"/>
              </w:rPr>
              <w:t xml:space="preserve">, l’indice d’évolution du PIB est de 140 en 2006, base 100 en </w:t>
            </w:r>
            <w:proofErr w:type="gramStart"/>
            <w:r w:rsidR="00B26CC1">
              <w:rPr>
                <w:i/>
                <w:iCs/>
                <w:sz w:val="24"/>
                <w:szCs w:val="24"/>
              </w:rPr>
              <w:t xml:space="preserve">1990 </w:t>
            </w:r>
            <w:r w:rsidR="00566D88" w:rsidRPr="00793E59">
              <w:rPr>
                <w:i/>
                <w:iCs/>
                <w:sz w:val="24"/>
                <w:szCs w:val="24"/>
              </w:rPr>
              <w:t>]</w:t>
            </w:r>
            <w:proofErr w:type="gramEnd"/>
            <w:r w:rsidR="00566D88" w:rsidRPr="00793E59">
              <w:rPr>
                <w:i/>
                <w:iCs/>
                <w:sz w:val="24"/>
                <w:szCs w:val="24"/>
              </w:rPr>
              <w:t xml:space="preserve">, </w:t>
            </w:r>
            <w:r w:rsidR="00A645F9" w:rsidRPr="00793E59">
              <w:rPr>
                <w:i/>
                <w:iCs/>
                <w:sz w:val="24"/>
                <w:szCs w:val="24"/>
              </w:rPr>
              <w:t xml:space="preserve">les émissions </w:t>
            </w:r>
            <w:r w:rsidR="00EA2E30" w:rsidRPr="00793E59">
              <w:rPr>
                <w:i/>
                <w:iCs/>
                <w:sz w:val="24"/>
                <w:szCs w:val="24"/>
              </w:rPr>
              <w:t xml:space="preserve">sont revenues à leur niveau de 1990 dès </w:t>
            </w:r>
            <w:r w:rsidR="002F0377" w:rsidRPr="00793E59">
              <w:rPr>
                <w:i/>
                <w:iCs/>
                <w:sz w:val="24"/>
                <w:szCs w:val="24"/>
              </w:rPr>
              <w:t xml:space="preserve">1993 et vont fluctuer autour de ce niveau de base durant </w:t>
            </w:r>
            <w:r w:rsidR="00593433" w:rsidRPr="00793E59">
              <w:rPr>
                <w:i/>
                <w:iCs/>
                <w:sz w:val="24"/>
                <w:szCs w:val="24"/>
              </w:rPr>
              <w:t xml:space="preserve">16 ans. </w:t>
            </w:r>
          </w:p>
          <w:p w14:paraId="52D67CB2" w14:textId="3AC5EBBA" w:rsidR="002C6FCC" w:rsidRPr="00793E59" w:rsidRDefault="00593433" w:rsidP="000143C2">
            <w:pPr>
              <w:rPr>
                <w:i/>
                <w:iCs/>
                <w:sz w:val="24"/>
                <w:szCs w:val="24"/>
              </w:rPr>
            </w:pPr>
            <w:r w:rsidRPr="00793E59">
              <w:rPr>
                <w:i/>
                <w:iCs/>
                <w:sz w:val="24"/>
                <w:szCs w:val="24"/>
              </w:rPr>
              <w:t>En 2007</w:t>
            </w:r>
            <w:r w:rsidR="00BB495E" w:rsidRPr="00793E59">
              <w:rPr>
                <w:i/>
                <w:iCs/>
                <w:sz w:val="24"/>
                <w:szCs w:val="24"/>
              </w:rPr>
              <w:t xml:space="preserve">, et </w:t>
            </w:r>
            <w:r w:rsidR="00BB495E" w:rsidRPr="00B26CC1">
              <w:rPr>
                <w:b/>
                <w:bCs/>
                <w:i/>
                <w:iCs/>
                <w:sz w:val="24"/>
                <w:szCs w:val="24"/>
              </w:rPr>
              <w:t>c’est le troisième temps</w:t>
            </w:r>
            <w:r w:rsidR="00BB495E" w:rsidRPr="00793E59">
              <w:rPr>
                <w:i/>
                <w:iCs/>
                <w:sz w:val="24"/>
                <w:szCs w:val="24"/>
              </w:rPr>
              <w:t xml:space="preserve">, </w:t>
            </w:r>
            <w:r w:rsidR="00BF30E4" w:rsidRPr="00793E59">
              <w:rPr>
                <w:i/>
                <w:iCs/>
                <w:sz w:val="24"/>
                <w:szCs w:val="24"/>
              </w:rPr>
              <w:t>le PIB qui est maintenant 40 % au-dessus de son niveau de 1990</w:t>
            </w:r>
            <w:r w:rsidR="004B5929" w:rsidRPr="00793E59">
              <w:rPr>
                <w:i/>
                <w:iCs/>
                <w:sz w:val="24"/>
                <w:szCs w:val="24"/>
              </w:rPr>
              <w:t xml:space="preserve"> poursuit sa tendance haussière et les GES commence</w:t>
            </w:r>
            <w:r w:rsidR="00566D88" w:rsidRPr="00793E59">
              <w:rPr>
                <w:i/>
                <w:iCs/>
                <w:sz w:val="24"/>
                <w:szCs w:val="24"/>
              </w:rPr>
              <w:t>nt</w:t>
            </w:r>
            <w:r w:rsidR="004B5929" w:rsidRPr="00793E59">
              <w:rPr>
                <w:i/>
                <w:iCs/>
                <w:sz w:val="24"/>
                <w:szCs w:val="24"/>
              </w:rPr>
              <w:t xml:space="preserve"> un</w:t>
            </w:r>
            <w:r w:rsidR="00566D88" w:rsidRPr="00793E59">
              <w:rPr>
                <w:i/>
                <w:iCs/>
                <w:sz w:val="24"/>
                <w:szCs w:val="24"/>
              </w:rPr>
              <w:t>e</w:t>
            </w:r>
            <w:r w:rsidR="004B5929" w:rsidRPr="00793E59">
              <w:rPr>
                <w:i/>
                <w:iCs/>
                <w:sz w:val="24"/>
                <w:szCs w:val="24"/>
              </w:rPr>
              <w:t xml:space="preserve"> tendance baissière</w:t>
            </w:r>
            <w:r w:rsidR="00023DC4" w:rsidRPr="00793E59">
              <w:rPr>
                <w:i/>
                <w:iCs/>
                <w:sz w:val="24"/>
                <w:szCs w:val="24"/>
              </w:rPr>
              <w:t xml:space="preserve">. En </w:t>
            </w:r>
            <w:r w:rsidR="00D815E0" w:rsidRPr="00793E59">
              <w:rPr>
                <w:i/>
                <w:iCs/>
                <w:sz w:val="24"/>
                <w:szCs w:val="24"/>
              </w:rPr>
              <w:t>2018</w:t>
            </w:r>
            <w:r w:rsidR="00566D88" w:rsidRPr="00793E59">
              <w:rPr>
                <w:i/>
                <w:iCs/>
                <w:sz w:val="24"/>
                <w:szCs w:val="24"/>
              </w:rPr>
              <w:t>, ces émissions</w:t>
            </w:r>
            <w:r w:rsidR="00D815E0" w:rsidRPr="00793E59">
              <w:rPr>
                <w:i/>
                <w:iCs/>
                <w:sz w:val="24"/>
                <w:szCs w:val="24"/>
              </w:rPr>
              <w:t xml:space="preserve"> auront reculé de 18% par rapport au niveau de 1990</w:t>
            </w:r>
            <w:r w:rsidR="00091F6A" w:rsidRPr="00793E59">
              <w:rPr>
                <w:i/>
                <w:iCs/>
                <w:sz w:val="24"/>
                <w:szCs w:val="24"/>
              </w:rPr>
              <w:t xml:space="preserve"> </w:t>
            </w:r>
            <w:r w:rsidR="00B26CC1">
              <w:rPr>
                <w:i/>
                <w:iCs/>
                <w:sz w:val="24"/>
                <w:szCs w:val="24"/>
              </w:rPr>
              <w:t xml:space="preserve">(indice 82) </w:t>
            </w:r>
            <w:r w:rsidR="00091F6A" w:rsidRPr="00793E59">
              <w:rPr>
                <w:i/>
                <w:iCs/>
                <w:sz w:val="24"/>
                <w:szCs w:val="24"/>
              </w:rPr>
              <w:t xml:space="preserve">tandis que le PIB </w:t>
            </w:r>
            <w:r w:rsidR="00C747CD" w:rsidRPr="00793E59">
              <w:rPr>
                <w:i/>
                <w:iCs/>
                <w:sz w:val="24"/>
                <w:szCs w:val="24"/>
              </w:rPr>
              <w:t>aura augmenté de 50 % sur toute la période.</w:t>
            </w:r>
            <w:r w:rsidR="00557027" w:rsidRPr="00793E59">
              <w:rPr>
                <w:i/>
                <w:iCs/>
                <w:sz w:val="24"/>
                <w:szCs w:val="24"/>
              </w:rPr>
              <w:t xml:space="preserve"> La corrélation est devenue négative.</w:t>
            </w:r>
          </w:p>
          <w:p w14:paraId="73BEF314" w14:textId="78B50017" w:rsidR="000143C2" w:rsidRPr="00793E59" w:rsidRDefault="00C747CD" w:rsidP="000143C2">
            <w:pPr>
              <w:rPr>
                <w:i/>
                <w:iCs/>
                <w:sz w:val="24"/>
                <w:szCs w:val="24"/>
              </w:rPr>
            </w:pPr>
            <w:r w:rsidRPr="00793E59">
              <w:rPr>
                <w:i/>
                <w:iCs/>
                <w:sz w:val="24"/>
                <w:szCs w:val="24"/>
              </w:rPr>
              <w:t xml:space="preserve">    Les émissions de GES pouvant être perçues comme des externalités négatives de l’activité productive </w:t>
            </w:r>
            <w:r w:rsidR="00557027" w:rsidRPr="00793E59">
              <w:rPr>
                <w:i/>
                <w:iCs/>
                <w:sz w:val="24"/>
                <w:szCs w:val="24"/>
              </w:rPr>
              <w:t xml:space="preserve">qui est </w:t>
            </w:r>
            <w:r w:rsidR="00E0775D" w:rsidRPr="00793E59">
              <w:rPr>
                <w:i/>
                <w:iCs/>
                <w:sz w:val="24"/>
                <w:szCs w:val="24"/>
              </w:rPr>
              <w:t>à 80% marchande</w:t>
            </w:r>
            <w:r w:rsidR="00B26CC1">
              <w:rPr>
                <w:i/>
                <w:iCs/>
                <w:sz w:val="24"/>
                <w:szCs w:val="24"/>
              </w:rPr>
              <w:t>, o</w:t>
            </w:r>
            <w:r w:rsidR="00E0775D" w:rsidRPr="00793E59">
              <w:rPr>
                <w:i/>
                <w:iCs/>
                <w:sz w:val="24"/>
                <w:szCs w:val="24"/>
              </w:rPr>
              <w:t xml:space="preserve">n peut imaginer que </w:t>
            </w:r>
            <w:r w:rsidR="00E0775D" w:rsidRPr="00B26CC1">
              <w:rPr>
                <w:i/>
                <w:iCs/>
                <w:color w:val="0070C0"/>
                <w:sz w:val="24"/>
                <w:szCs w:val="24"/>
              </w:rPr>
              <w:t>l’A</w:t>
            </w:r>
            <w:r w:rsidR="00B26CC1" w:rsidRPr="00B26CC1">
              <w:rPr>
                <w:i/>
                <w:iCs/>
                <w:color w:val="0070C0"/>
                <w:sz w:val="24"/>
                <w:szCs w:val="24"/>
              </w:rPr>
              <w:t>.</w:t>
            </w:r>
            <w:r w:rsidR="00E0775D" w:rsidRPr="00B26CC1">
              <w:rPr>
                <w:i/>
                <w:iCs/>
                <w:color w:val="0070C0"/>
                <w:sz w:val="24"/>
                <w:szCs w:val="24"/>
              </w:rPr>
              <w:t>PU</w:t>
            </w:r>
            <w:r w:rsidR="00B26CC1" w:rsidRPr="00B26CC1">
              <w:rPr>
                <w:i/>
                <w:iCs/>
                <w:color w:val="0070C0"/>
                <w:sz w:val="24"/>
                <w:szCs w:val="24"/>
              </w:rPr>
              <w:t>.</w:t>
            </w:r>
            <w:r w:rsidR="00E0775D" w:rsidRPr="00B26CC1">
              <w:rPr>
                <w:i/>
                <w:iCs/>
                <w:color w:val="0070C0"/>
                <w:sz w:val="24"/>
                <w:szCs w:val="24"/>
              </w:rPr>
              <w:t xml:space="preserve"> </w:t>
            </w:r>
            <w:proofErr w:type="gramStart"/>
            <w:r w:rsidR="00E0775D" w:rsidRPr="00B26CC1">
              <w:rPr>
                <w:i/>
                <w:iCs/>
                <w:color w:val="0070C0"/>
                <w:sz w:val="24"/>
                <w:szCs w:val="24"/>
              </w:rPr>
              <w:t>a</w:t>
            </w:r>
            <w:proofErr w:type="gramEnd"/>
            <w:r w:rsidR="00E0775D" w:rsidRPr="00B26CC1">
              <w:rPr>
                <w:i/>
                <w:iCs/>
                <w:color w:val="0070C0"/>
                <w:sz w:val="24"/>
                <w:szCs w:val="24"/>
              </w:rPr>
              <w:t xml:space="preserve"> voulu</w:t>
            </w:r>
            <w:r w:rsidR="00676317" w:rsidRPr="00B26CC1">
              <w:rPr>
                <w:i/>
                <w:iCs/>
                <w:color w:val="0070C0"/>
                <w:sz w:val="24"/>
                <w:szCs w:val="24"/>
              </w:rPr>
              <w:t xml:space="preserve"> mettre des limites au marché c’est à dire intervenir face à celle</w:t>
            </w:r>
            <w:r w:rsidR="00001E79" w:rsidRPr="00B26CC1">
              <w:rPr>
                <w:i/>
                <w:iCs/>
                <w:color w:val="0070C0"/>
                <w:sz w:val="24"/>
                <w:szCs w:val="24"/>
              </w:rPr>
              <w:t>s-ci</w:t>
            </w:r>
            <w:r w:rsidR="00B72D1D" w:rsidRPr="00B26CC1">
              <w:rPr>
                <w:i/>
                <w:iCs/>
                <w:color w:val="0070C0"/>
                <w:sz w:val="24"/>
                <w:szCs w:val="24"/>
              </w:rPr>
              <w:t xml:space="preserve"> </w:t>
            </w:r>
            <w:r w:rsidR="00B72D1D" w:rsidRPr="00793E59">
              <w:rPr>
                <w:i/>
                <w:iCs/>
                <w:sz w:val="24"/>
                <w:szCs w:val="24"/>
              </w:rPr>
              <w:t>afin de les réduire.</w:t>
            </w:r>
          </w:p>
          <w:p w14:paraId="5791ABAC" w14:textId="77777777" w:rsidR="00793E59" w:rsidRPr="00001E79" w:rsidRDefault="00793E59" w:rsidP="000143C2">
            <w:pPr>
              <w:rPr>
                <w:i/>
                <w:iCs/>
              </w:rPr>
            </w:pPr>
          </w:p>
          <w:p w14:paraId="3CD76883" w14:textId="77777777" w:rsidR="00793E59" w:rsidRPr="00B26CC1" w:rsidRDefault="000143C2" w:rsidP="00B26CC1">
            <w:pPr>
              <w:pStyle w:val="Paragraphedeliste"/>
              <w:numPr>
                <w:ilvl w:val="0"/>
                <w:numId w:val="4"/>
              </w:numPr>
              <w:jc w:val="right"/>
              <w:rPr>
                <w:b/>
                <w:bCs/>
                <w:color w:val="0070C0"/>
                <w:sz w:val="18"/>
                <w:szCs w:val="18"/>
              </w:rPr>
            </w:pPr>
            <w:r w:rsidRPr="00B26CC1">
              <w:rPr>
                <w:b/>
                <w:bCs/>
                <w:color w:val="0070C0"/>
                <w:sz w:val="18"/>
                <w:szCs w:val="18"/>
              </w:rPr>
              <w:t xml:space="preserve">A l’aide du document et de vos connaissance s, montrez que les A.PU.  </w:t>
            </w:r>
            <w:proofErr w:type="gramStart"/>
            <w:r w:rsidRPr="00B26CC1">
              <w:rPr>
                <w:b/>
                <w:bCs/>
                <w:color w:val="0070C0"/>
                <w:sz w:val="18"/>
                <w:szCs w:val="18"/>
              </w:rPr>
              <w:t>peuvent</w:t>
            </w:r>
            <w:proofErr w:type="gramEnd"/>
            <w:r w:rsidRPr="00B26CC1">
              <w:rPr>
                <w:b/>
                <w:bCs/>
                <w:color w:val="0070C0"/>
                <w:sz w:val="18"/>
                <w:szCs w:val="18"/>
              </w:rPr>
              <w:t xml:space="preserve"> intervenir face aux externalités négatives.</w:t>
            </w:r>
          </w:p>
          <w:p w14:paraId="4E933E68" w14:textId="6400672D" w:rsidR="00B26CC1" w:rsidRPr="00B26CC1" w:rsidRDefault="00B26CC1" w:rsidP="00B26CC1">
            <w:pPr>
              <w:rPr>
                <w:i/>
                <w:iCs/>
                <w:color w:val="0070C0"/>
                <w:sz w:val="24"/>
                <w:szCs w:val="24"/>
              </w:rPr>
            </w:pPr>
            <w:r w:rsidRPr="00B26CC1">
              <w:rPr>
                <w:i/>
                <w:iCs/>
                <w:color w:val="7030A0"/>
                <w:sz w:val="18"/>
                <w:szCs w:val="18"/>
              </w:rPr>
              <w:t>*</w:t>
            </w:r>
            <w:r w:rsidRPr="00B26CC1">
              <w:rPr>
                <w:b/>
                <w:bCs/>
                <w:i/>
                <w:iCs/>
                <w:color w:val="7030A0"/>
                <w:sz w:val="18"/>
                <w:szCs w:val="18"/>
                <w:u w:val="single"/>
              </w:rPr>
              <w:t>Méthode </w:t>
            </w:r>
            <w:r w:rsidRPr="00B26CC1">
              <w:rPr>
                <w:i/>
                <w:iCs/>
                <w:color w:val="7030A0"/>
                <w:sz w:val="18"/>
                <w:szCs w:val="18"/>
              </w:rPr>
              <w:t xml:space="preserve">: </w:t>
            </w:r>
            <w:r w:rsidRPr="00B26CC1">
              <w:rPr>
                <w:i/>
                <w:iCs/>
                <w:color w:val="7030A0"/>
                <w:sz w:val="24"/>
                <w:szCs w:val="24"/>
              </w:rPr>
              <w:t>on évitera les approches chronologiques …sauf quand elles semblent s’imposer</w:t>
            </w:r>
            <w:r>
              <w:rPr>
                <w:i/>
                <w:iCs/>
                <w:color w:val="7030A0"/>
                <w:sz w:val="24"/>
                <w:szCs w:val="24"/>
              </w:rPr>
              <w:t> !!!</w:t>
            </w:r>
          </w:p>
        </w:tc>
      </w:tr>
    </w:tbl>
    <w:p w14:paraId="61E9E3D4" w14:textId="32271BC0" w:rsidR="000143C2" w:rsidRPr="00793E59" w:rsidRDefault="000143C2" w:rsidP="00793E59">
      <w:pPr>
        <w:spacing w:after="0"/>
        <w:rPr>
          <w:sz w:val="14"/>
          <w:szCs w:val="14"/>
        </w:rPr>
      </w:pPr>
      <w:r w:rsidRPr="00793E59">
        <w:rPr>
          <w:sz w:val="14"/>
          <w:szCs w:val="14"/>
        </w:rPr>
        <w:t>S</w:t>
      </w:r>
    </w:p>
    <w:tbl>
      <w:tblPr>
        <w:tblStyle w:val="Grilledutableau"/>
        <w:tblW w:w="15153" w:type="dxa"/>
        <w:jc w:val="center"/>
        <w:tblBorders>
          <w:top w:val="double" w:sz="4" w:space="0" w:color="auto"/>
          <w:left w:val="double" w:sz="4" w:space="0" w:color="auto"/>
          <w:bottom w:val="double" w:sz="4" w:space="0" w:color="auto"/>
          <w:right w:val="double" w:sz="4" w:space="0" w:color="auto"/>
          <w:insideH w:val="thinThickSmallGap" w:sz="24" w:space="0" w:color="auto"/>
          <w:insideV w:val="thinThickSmallGap" w:sz="24" w:space="0" w:color="auto"/>
        </w:tblBorders>
        <w:tblLook w:val="04A0" w:firstRow="1" w:lastRow="0" w:firstColumn="1" w:lastColumn="0" w:noHBand="0" w:noVBand="1"/>
      </w:tblPr>
      <w:tblGrid>
        <w:gridCol w:w="7086"/>
        <w:gridCol w:w="8067"/>
      </w:tblGrid>
      <w:tr w:rsidR="000143C2" w14:paraId="79C9D98C" w14:textId="77777777" w:rsidTr="002A58E2">
        <w:trPr>
          <w:jc w:val="center"/>
        </w:trPr>
        <w:tc>
          <w:tcPr>
            <w:tcW w:w="7086" w:type="dxa"/>
          </w:tcPr>
          <w:p w14:paraId="369A05CF" w14:textId="77777777" w:rsidR="00793E59" w:rsidRDefault="00793E59">
            <w:pPr>
              <w:rPr>
                <w:sz w:val="6"/>
                <w:szCs w:val="6"/>
              </w:rPr>
            </w:pPr>
          </w:p>
          <w:p w14:paraId="591454A2" w14:textId="1501D449" w:rsidR="00001E79" w:rsidRDefault="00D90B28">
            <w:pPr>
              <w:rPr>
                <w:noProof/>
              </w:rPr>
            </w:pPr>
            <w:r w:rsidRPr="000143C2">
              <w:rPr>
                <w:noProof/>
              </w:rPr>
              <w:drawing>
                <wp:inline distT="0" distB="0" distL="0" distR="0" wp14:anchorId="35A65ADB" wp14:editId="6BAF568D">
                  <wp:extent cx="4352925" cy="5010150"/>
                  <wp:effectExtent l="0" t="0" r="9525" b="0"/>
                  <wp:docPr id="3988504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850429"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4384874" cy="5046923"/>
                          </a:xfrm>
                          <a:prstGeom prst="rect">
                            <a:avLst/>
                          </a:prstGeom>
                        </pic:spPr>
                      </pic:pic>
                    </a:graphicData>
                  </a:graphic>
                </wp:inline>
              </w:drawing>
            </w:r>
          </w:p>
          <w:p w14:paraId="4F3645CE" w14:textId="0A78806B" w:rsidR="00D90B28" w:rsidRDefault="00D90B28" w:rsidP="00D90B28">
            <w:pPr>
              <w:jc w:val="center"/>
              <w:rPr>
                <w:noProof/>
              </w:rPr>
            </w:pPr>
            <w:r>
              <w:rPr>
                <w:noProof/>
              </w:rPr>
              <w:t>***</w:t>
            </w:r>
          </w:p>
          <w:p w14:paraId="47C0EF9E" w14:textId="0E1044AE" w:rsidR="00D90B28" w:rsidRPr="00D90B28" w:rsidRDefault="00D90B28">
            <w:pPr>
              <w:rPr>
                <w:color w:val="EE0000"/>
              </w:rPr>
            </w:pPr>
            <w:r>
              <w:rPr>
                <w:b/>
                <w:bCs/>
              </w:rPr>
              <w:t xml:space="preserve">     </w:t>
            </w:r>
            <w:r w:rsidRPr="00D90B28">
              <w:rPr>
                <w:b/>
                <w:bCs/>
                <w:color w:val="EE0000"/>
              </w:rPr>
              <w:t>Ainsi</w:t>
            </w:r>
            <w:r w:rsidRPr="00D90B28">
              <w:rPr>
                <w:color w:val="EE0000"/>
              </w:rPr>
              <w:t xml:space="preserve"> au-delà des limites du modèle de C</w:t>
            </w:r>
            <w:r>
              <w:rPr>
                <w:color w:val="EE0000"/>
              </w:rPr>
              <w:t>.</w:t>
            </w:r>
            <w:r w:rsidRPr="00D90B28">
              <w:rPr>
                <w:color w:val="EE0000"/>
              </w:rPr>
              <w:t>P</w:t>
            </w:r>
            <w:r>
              <w:rPr>
                <w:color w:val="EE0000"/>
              </w:rPr>
              <w:t>.</w:t>
            </w:r>
            <w:r w:rsidRPr="00D90B28">
              <w:rPr>
                <w:color w:val="EE0000"/>
              </w:rPr>
              <w:t>P</w:t>
            </w:r>
            <w:r>
              <w:rPr>
                <w:color w:val="EE0000"/>
              </w:rPr>
              <w:t>.</w:t>
            </w:r>
            <w:r w:rsidRPr="00D90B28">
              <w:rPr>
                <w:color w:val="EE0000"/>
              </w:rPr>
              <w:t xml:space="preserve"> (limites du marché) il existe des limites au marché lorsque notamment des biens publics mondiaux sont menacés (car non rivaux et non excluables). Cela peut entrainer, en l’absence d’institutions régulatrices autres que le marché, des situations « tragiques ». On parle de </w:t>
            </w:r>
            <w:r w:rsidRPr="002A58E2">
              <w:rPr>
                <w:b/>
                <w:bCs/>
                <w:color w:val="EE0000"/>
              </w:rPr>
              <w:t>tragédie des biens communs</w:t>
            </w:r>
            <w:r>
              <w:rPr>
                <w:color w:val="EE0000"/>
              </w:rPr>
              <w:t xml:space="preserve"> </w:t>
            </w:r>
            <w:r w:rsidRPr="00D90B28">
              <w:rPr>
                <w:color w:val="EE0000"/>
              </w:rPr>
              <w:t>lorsque les biens publics deviennent rivaux du fait d’un excès de leur utilisation.</w:t>
            </w:r>
          </w:p>
        </w:tc>
        <w:tc>
          <w:tcPr>
            <w:tcW w:w="8067" w:type="dxa"/>
          </w:tcPr>
          <w:p w14:paraId="52EBA28A" w14:textId="703139D3" w:rsidR="000143C2" w:rsidRPr="00D90B28" w:rsidRDefault="00001E79" w:rsidP="00BC4297">
            <w:pPr>
              <w:pStyle w:val="Paragraphedeliste"/>
              <w:numPr>
                <w:ilvl w:val="0"/>
                <w:numId w:val="2"/>
              </w:numPr>
              <w:rPr>
                <w:sz w:val="24"/>
                <w:szCs w:val="24"/>
              </w:rPr>
            </w:pPr>
            <w:r w:rsidRPr="00793E59">
              <w:rPr>
                <w:b/>
                <w:bCs/>
                <w:color w:val="0070C0"/>
                <w:sz w:val="24"/>
                <w:szCs w:val="24"/>
                <w:u w:val="single"/>
              </w:rPr>
              <w:t xml:space="preserve">A l’aide du document et de vos connaissances, montrez que les A.PU. </w:t>
            </w:r>
            <w:proofErr w:type="gramStart"/>
            <w:r w:rsidRPr="00793E59">
              <w:rPr>
                <w:b/>
                <w:bCs/>
                <w:color w:val="0070C0"/>
                <w:sz w:val="24"/>
                <w:szCs w:val="24"/>
                <w:u w:val="single"/>
              </w:rPr>
              <w:t>peuvent</w:t>
            </w:r>
            <w:proofErr w:type="gramEnd"/>
            <w:r w:rsidRPr="00793E59">
              <w:rPr>
                <w:b/>
                <w:bCs/>
                <w:color w:val="0070C0"/>
                <w:sz w:val="24"/>
                <w:szCs w:val="24"/>
                <w:u w:val="single"/>
              </w:rPr>
              <w:t xml:space="preserve"> </w:t>
            </w:r>
            <w:r w:rsidRPr="00D90B28">
              <w:rPr>
                <w:b/>
                <w:bCs/>
                <w:color w:val="0070C0"/>
                <w:sz w:val="24"/>
                <w:szCs w:val="24"/>
                <w:u w:val="single"/>
              </w:rPr>
              <w:t>intervenir face aux externalités négatives.</w:t>
            </w:r>
          </w:p>
          <w:p w14:paraId="6880265A" w14:textId="77777777" w:rsidR="00001E79" w:rsidRPr="00B72D1D" w:rsidRDefault="00001E79" w:rsidP="00001E79">
            <w:pPr>
              <w:rPr>
                <w:sz w:val="6"/>
                <w:szCs w:val="6"/>
              </w:rPr>
            </w:pPr>
          </w:p>
          <w:p w14:paraId="0E7EA9EC" w14:textId="58A746ED" w:rsidR="00001E79" w:rsidRDefault="00A94258" w:rsidP="00A94258">
            <w:r>
              <w:t xml:space="preserve">    Selon la note de France stratégie en </w:t>
            </w:r>
            <w:r w:rsidR="00243B08">
              <w:t xml:space="preserve">Les </w:t>
            </w:r>
            <w:r w:rsidR="00243B08" w:rsidRPr="00B26CC1">
              <w:rPr>
                <w:color w:val="0070C0"/>
              </w:rPr>
              <w:t xml:space="preserve">émissions de GES </w:t>
            </w:r>
            <w:r w:rsidR="00243B08">
              <w:t xml:space="preserve">sont responsables du réchauffement climatique qui </w:t>
            </w:r>
            <w:r w:rsidR="00821D08">
              <w:t>a des coûts importants pour les agents économiques (ex. isolation des bâtiments</w:t>
            </w:r>
            <w:r w:rsidR="00B72D1D">
              <w:t xml:space="preserve"> privés ou publics</w:t>
            </w:r>
            <w:r w:rsidR="00821D08">
              <w:t xml:space="preserve">…). Ces mêmes agents sont aussi responsables de ces émissions puisqu’elles sont le résultat de la consommation intermédiaire </w:t>
            </w:r>
            <w:r w:rsidR="001D30F2">
              <w:t xml:space="preserve">lors de la création de valeur </w:t>
            </w:r>
            <w:r w:rsidR="00136DC1">
              <w:t>(</w:t>
            </w:r>
            <w:r w:rsidR="001D30F2">
              <w:t>soit l’activité productive</w:t>
            </w:r>
            <w:r w:rsidR="00136DC1">
              <w:t>)</w:t>
            </w:r>
            <w:r w:rsidR="001D30F2">
              <w:t xml:space="preserve"> notamment des </w:t>
            </w:r>
            <w:r w:rsidR="003643F1">
              <w:t xml:space="preserve">entreprises non financières </w:t>
            </w:r>
            <w:r w:rsidR="009B7BAC">
              <w:t>(</w:t>
            </w:r>
            <w:r w:rsidR="001D30F2">
              <w:t>S</w:t>
            </w:r>
            <w:r w:rsidR="003643F1">
              <w:t>.</w:t>
            </w:r>
            <w:r w:rsidR="001D30F2">
              <w:t>N</w:t>
            </w:r>
            <w:r w:rsidR="003643F1">
              <w:t>.</w:t>
            </w:r>
            <w:r w:rsidR="001D30F2">
              <w:t>F</w:t>
            </w:r>
            <w:r w:rsidR="003643F1">
              <w:t>.</w:t>
            </w:r>
            <w:r w:rsidR="001D30F2">
              <w:t xml:space="preserve"> et </w:t>
            </w:r>
            <w:r w:rsidR="003643F1">
              <w:t xml:space="preserve">E.I.) mais aussi de la consommation </w:t>
            </w:r>
            <w:r w:rsidR="009B7BAC">
              <w:t xml:space="preserve">finale </w:t>
            </w:r>
            <w:r w:rsidR="003643F1">
              <w:t>des ménages</w:t>
            </w:r>
            <w:r w:rsidR="009B7BAC">
              <w:t xml:space="preserve">. </w:t>
            </w:r>
            <w:r w:rsidR="00D968C4">
              <w:t xml:space="preserve">On est donc face </w:t>
            </w:r>
            <w:r w:rsidR="00E41502">
              <w:t xml:space="preserve">à des </w:t>
            </w:r>
            <w:r w:rsidR="00D968C4" w:rsidRPr="00B26CC1">
              <w:rPr>
                <w:color w:val="0070C0"/>
              </w:rPr>
              <w:t>externalités</w:t>
            </w:r>
            <w:r w:rsidR="00E41502" w:rsidRPr="00B26CC1">
              <w:rPr>
                <w:color w:val="0070C0"/>
              </w:rPr>
              <w:t>,</w:t>
            </w:r>
            <w:r w:rsidR="00D968C4" w:rsidRPr="00B26CC1">
              <w:rPr>
                <w:color w:val="0070C0"/>
              </w:rPr>
              <w:t xml:space="preserve"> ici négatives</w:t>
            </w:r>
            <w:r w:rsidR="00E41502">
              <w:t>,</w:t>
            </w:r>
            <w:r w:rsidR="00D968C4">
              <w:t xml:space="preserve"> que le marché </w:t>
            </w:r>
            <w:r w:rsidR="00E41502">
              <w:t xml:space="preserve">ne sait pas réguler. </w:t>
            </w:r>
            <w:r w:rsidR="00136DC1">
              <w:t>En effet, e</w:t>
            </w:r>
            <w:r w:rsidR="00510945">
              <w:t>lles sont le résultat d’interactions</w:t>
            </w:r>
            <w:r w:rsidR="00E41502">
              <w:t xml:space="preserve"> des agents </w:t>
            </w:r>
            <w:r w:rsidR="00F826F6">
              <w:t xml:space="preserve">mais sans être l’expression d’une offre et d’une demande </w:t>
            </w:r>
            <w:r w:rsidR="00304F03">
              <w:t>(donc d’un échange « désiré »</w:t>
            </w:r>
            <w:r w:rsidR="002A3A93">
              <w:t xml:space="preserve">) </w:t>
            </w:r>
            <w:r w:rsidR="00F826F6">
              <w:t xml:space="preserve">et </w:t>
            </w:r>
            <w:r w:rsidR="00304F03">
              <w:t>donc sans prix qui fixerait</w:t>
            </w:r>
            <w:r w:rsidR="002A3A93">
              <w:t xml:space="preserve">  la cession d’un droit de propriété. </w:t>
            </w:r>
            <w:proofErr w:type="gramStart"/>
            <w:r w:rsidR="00635753" w:rsidRPr="00B26CC1">
              <w:rPr>
                <w:color w:val="0070C0"/>
              </w:rPr>
              <w:t>L’</w:t>
            </w:r>
            <w:r w:rsidR="00B26CC1" w:rsidRPr="00B26CC1">
              <w:rPr>
                <w:color w:val="0070C0"/>
              </w:rPr>
              <w:t xml:space="preserve"> </w:t>
            </w:r>
            <w:r w:rsidR="00635753" w:rsidRPr="00B26CC1">
              <w:rPr>
                <w:color w:val="0070C0"/>
              </w:rPr>
              <w:t>A</w:t>
            </w:r>
            <w:proofErr w:type="gramEnd"/>
            <w:r w:rsidR="00B26CC1" w:rsidRPr="00B26CC1">
              <w:rPr>
                <w:color w:val="0070C0"/>
              </w:rPr>
              <w:t>.</w:t>
            </w:r>
            <w:r w:rsidR="00635753" w:rsidRPr="00B26CC1">
              <w:rPr>
                <w:color w:val="0070C0"/>
              </w:rPr>
              <w:t>PU</w:t>
            </w:r>
            <w:r w:rsidR="00B26CC1" w:rsidRPr="00B26CC1">
              <w:rPr>
                <w:color w:val="0070C0"/>
              </w:rPr>
              <w:t>.</w:t>
            </w:r>
            <w:r w:rsidR="00635753" w:rsidRPr="00B26CC1">
              <w:rPr>
                <w:color w:val="0070C0"/>
              </w:rPr>
              <w:t xml:space="preserve"> </w:t>
            </w:r>
            <w:proofErr w:type="gramStart"/>
            <w:r w:rsidR="00635753">
              <w:t>peut</w:t>
            </w:r>
            <w:proofErr w:type="gramEnd"/>
            <w:r w:rsidR="00635753">
              <w:t xml:space="preserve"> dès lors décider de mettre des limites au marché.</w:t>
            </w:r>
          </w:p>
          <w:p w14:paraId="7012FE7C" w14:textId="5A3FE1F5" w:rsidR="00B31EDA" w:rsidRDefault="00635753" w:rsidP="00001E79">
            <w:r>
              <w:t xml:space="preserve">    </w:t>
            </w:r>
            <w:r w:rsidR="00BC4297">
              <w:t xml:space="preserve"> </w:t>
            </w:r>
            <w:r w:rsidRPr="00A94258">
              <w:rPr>
                <w:b/>
                <w:bCs/>
              </w:rPr>
              <w:t>Si</w:t>
            </w:r>
            <w:r w:rsidR="006E5FD0">
              <w:t xml:space="preserve"> </w:t>
            </w:r>
            <w:r w:rsidR="00EF126D">
              <w:t>à l</w:t>
            </w:r>
            <w:r w:rsidR="00C52CC5">
              <w:t>’équilibre d’un marché</w:t>
            </w:r>
            <w:r w:rsidR="006E5FD0">
              <w:t xml:space="preserve">  </w:t>
            </w:r>
            <w:r w:rsidR="00C52CC5">
              <w:t>la situation est optimale</w:t>
            </w:r>
            <w:r w:rsidR="00EF126D">
              <w:t>,</w:t>
            </w:r>
            <w:r w:rsidR="00C52CC5">
              <w:t xml:space="preserve"> du fait d’un gain à l’échange</w:t>
            </w:r>
            <w:r w:rsidR="00EF126D">
              <w:t xml:space="preserve"> (prix minimal et quantité échangée maximale)</w:t>
            </w:r>
            <w:r w:rsidR="00C52CC5">
              <w:t xml:space="preserve"> pour </w:t>
            </w:r>
            <w:r w:rsidR="00EF126D">
              <w:t>d</w:t>
            </w:r>
            <w:r w:rsidR="00C52CC5">
              <w:t xml:space="preserve">es demandeurs et </w:t>
            </w:r>
            <w:r w:rsidR="00EF126D">
              <w:t>d</w:t>
            </w:r>
            <w:r w:rsidR="00C52CC5">
              <w:t>es offreurs</w:t>
            </w:r>
            <w:r w:rsidR="000E046B">
              <w:t xml:space="preserve"> rationnels</w:t>
            </w:r>
            <w:r w:rsidR="00EF126D">
              <w:t>,</w:t>
            </w:r>
            <w:r w:rsidR="000E046B">
              <w:t xml:space="preserve"> il faut constater que dans les cas </w:t>
            </w:r>
            <w:r w:rsidR="000E046B" w:rsidRPr="002A58E2">
              <w:rPr>
                <w:color w:val="0070C0"/>
              </w:rPr>
              <w:t xml:space="preserve">d’externalités </w:t>
            </w:r>
            <w:r w:rsidR="001E03F7" w:rsidRPr="002A58E2">
              <w:rPr>
                <w:color w:val="0070C0"/>
              </w:rPr>
              <w:t xml:space="preserve">négatives </w:t>
            </w:r>
            <w:r w:rsidR="001E03F7">
              <w:t>l’action d’un agent ou d</w:t>
            </w:r>
            <w:r w:rsidR="00EF126D">
              <w:t>e</w:t>
            </w:r>
            <w:r w:rsidR="001E03F7">
              <w:t xml:space="preserve"> plusieurs vient peser sur le bien être d’autres agents sans que ces derniers aient exprimé une demande et sans que l’</w:t>
            </w:r>
            <w:r w:rsidR="00211D72">
              <w:t>auteur ou les auteurs du désagrément aient eu à subir un coût.</w:t>
            </w:r>
            <w:r w:rsidR="000260A5">
              <w:t xml:space="preserve"> </w:t>
            </w:r>
            <w:r w:rsidR="00A94258">
              <w:t xml:space="preserve">Ainsi la hausse de l’activité productive peut être corrélée avec une hausse des émissions de GES. En France par exemple tandis que la croissance est de 3 % environ entre 1990 et 1991 les émissions de GES progressent de 1 %. </w:t>
            </w:r>
            <w:r w:rsidR="000260A5">
              <w:t>Afin d’éviter ces externalités l’A</w:t>
            </w:r>
            <w:r w:rsidR="00A94258">
              <w:t>.</w:t>
            </w:r>
            <w:r w:rsidR="000260A5">
              <w:t>PU</w:t>
            </w:r>
            <w:r w:rsidR="00A94258">
              <w:t>.</w:t>
            </w:r>
            <w:r w:rsidR="000260A5">
              <w:t xml:space="preserve"> </w:t>
            </w:r>
            <w:proofErr w:type="gramStart"/>
            <w:r w:rsidR="000260A5">
              <w:t>peut</w:t>
            </w:r>
            <w:proofErr w:type="gramEnd"/>
            <w:r w:rsidR="000260A5">
              <w:t xml:space="preserve"> interdir</w:t>
            </w:r>
            <w:r w:rsidR="002B49A5">
              <w:t>e</w:t>
            </w:r>
            <w:r w:rsidR="000260A5">
              <w:t xml:space="preserve"> une production ou </w:t>
            </w:r>
            <w:r w:rsidR="00310AF6">
              <w:t>une consommation trop émettrice</w:t>
            </w:r>
            <w:r w:rsidR="002B49A5">
              <w:t xml:space="preserve"> de ces G</w:t>
            </w:r>
            <w:r w:rsidR="00310AF6">
              <w:t>ES. S</w:t>
            </w:r>
            <w:r w:rsidR="00EF126D">
              <w:t>i</w:t>
            </w:r>
            <w:r w:rsidR="006E5FD0">
              <w:t xml:space="preserve"> </w:t>
            </w:r>
            <w:r w:rsidR="006E5FD0" w:rsidRPr="002A58E2">
              <w:rPr>
                <w:b/>
                <w:bCs/>
              </w:rPr>
              <w:t>l</w:t>
            </w:r>
            <w:r w:rsidR="00EF126D" w:rsidRPr="002A58E2">
              <w:rPr>
                <w:b/>
                <w:bCs/>
              </w:rPr>
              <w:t xml:space="preserve">’interdiction </w:t>
            </w:r>
            <w:r w:rsidR="00310AF6">
              <w:t>s’avère trop contraignant</w:t>
            </w:r>
            <w:r w:rsidR="006E5FD0">
              <w:t>e</w:t>
            </w:r>
            <w:r w:rsidR="00310AF6">
              <w:t xml:space="preserve"> </w:t>
            </w:r>
            <w:r w:rsidR="00D031AD" w:rsidRPr="002A58E2">
              <w:rPr>
                <w:color w:val="0070C0"/>
              </w:rPr>
              <w:t>l’A</w:t>
            </w:r>
            <w:r w:rsidR="00A94258" w:rsidRPr="002A58E2">
              <w:rPr>
                <w:color w:val="0070C0"/>
              </w:rPr>
              <w:t>.</w:t>
            </w:r>
            <w:r w:rsidR="00D031AD" w:rsidRPr="002A58E2">
              <w:rPr>
                <w:color w:val="0070C0"/>
              </w:rPr>
              <w:t>PU</w:t>
            </w:r>
            <w:r w:rsidR="00A94258">
              <w:t>.</w:t>
            </w:r>
            <w:r w:rsidR="00D031AD">
              <w:t xml:space="preserve"> </w:t>
            </w:r>
            <w:proofErr w:type="gramStart"/>
            <w:r w:rsidR="00D031AD">
              <w:t>peut</w:t>
            </w:r>
            <w:proofErr w:type="gramEnd"/>
            <w:r w:rsidR="00D031AD">
              <w:t xml:space="preserve"> intervenir en</w:t>
            </w:r>
            <w:r w:rsidR="00F108AC">
              <w:t xml:space="preserve"> tax</w:t>
            </w:r>
            <w:r w:rsidR="00D031AD">
              <w:t>ant</w:t>
            </w:r>
            <w:r w:rsidR="00F108AC">
              <w:t xml:space="preserve"> certaines activités afin d’en réduire l’impact ou afin de pousser à des substitutions moins nocives pour l</w:t>
            </w:r>
            <w:r w:rsidR="007525FE">
              <w:t>e climat. En effet un</w:t>
            </w:r>
            <w:r w:rsidR="00B31EDA">
              <w:t>e</w:t>
            </w:r>
            <w:r w:rsidR="007525FE">
              <w:t xml:space="preserve"> </w:t>
            </w:r>
            <w:r w:rsidR="007525FE" w:rsidRPr="002A58E2">
              <w:rPr>
                <w:b/>
                <w:bCs/>
              </w:rPr>
              <w:t xml:space="preserve">taxe </w:t>
            </w:r>
            <w:r w:rsidR="007525FE">
              <w:t>augmente le</w:t>
            </w:r>
            <w:r w:rsidR="00BC1C20">
              <w:t xml:space="preserve"> prix </w:t>
            </w:r>
            <w:r w:rsidR="007525FE">
              <w:t>et incite à réduire l’utilisation</w:t>
            </w:r>
            <w:r w:rsidR="006426A5">
              <w:t xml:space="preserve"> ou la production d’un bien</w:t>
            </w:r>
            <w:r w:rsidR="00514A97">
              <w:t>.</w:t>
            </w:r>
            <w:r w:rsidR="00B31EDA">
              <w:t xml:space="preserve"> Du côté des ménages par</w:t>
            </w:r>
            <w:r w:rsidR="007525FE">
              <w:t xml:space="preserve"> ex. </w:t>
            </w:r>
          </w:p>
          <w:p w14:paraId="7BF53E2B" w14:textId="547C1A5D" w:rsidR="00635753" w:rsidRDefault="007525FE" w:rsidP="00B31EDA">
            <w:pPr>
              <w:pStyle w:val="Paragraphedeliste"/>
              <w:numPr>
                <w:ilvl w:val="0"/>
                <w:numId w:val="3"/>
              </w:numPr>
            </w:pPr>
            <w:proofErr w:type="gramStart"/>
            <w:r>
              <w:t>baisse</w:t>
            </w:r>
            <w:proofErr w:type="gramEnd"/>
            <w:r>
              <w:t xml:space="preserve"> de pouvoir d’achat</w:t>
            </w:r>
            <w:r w:rsidR="008363A2">
              <w:t xml:space="preserve"> et de la demande cumulée soit un déplacement le long de la courbe) </w:t>
            </w:r>
          </w:p>
          <w:p w14:paraId="252D6D0F" w14:textId="16BE8BCB" w:rsidR="00C60549" w:rsidRDefault="00C60549" w:rsidP="00C60549">
            <w:r>
              <w:t>… mais aussi du côté des producteurs</w:t>
            </w:r>
            <w:r w:rsidR="00BC4297">
              <w:t> :</w:t>
            </w:r>
          </w:p>
          <w:p w14:paraId="1179A163" w14:textId="791004E4" w:rsidR="00B31EDA" w:rsidRDefault="00C60549" w:rsidP="00B31EDA">
            <w:pPr>
              <w:pStyle w:val="Paragraphedeliste"/>
              <w:numPr>
                <w:ilvl w:val="0"/>
                <w:numId w:val="3"/>
              </w:numPr>
            </w:pPr>
            <w:proofErr w:type="gramStart"/>
            <w:r>
              <w:t>hausse</w:t>
            </w:r>
            <w:proofErr w:type="gramEnd"/>
            <w:r>
              <w:t xml:space="preserve"> des coûts et recule de l’offre cumulée</w:t>
            </w:r>
            <w:r w:rsidR="00BC1C20">
              <w:t>.</w:t>
            </w:r>
          </w:p>
          <w:p w14:paraId="4079CC2A" w14:textId="2460B5F5" w:rsidR="00BC4297" w:rsidRDefault="00BC4297" w:rsidP="00001E79">
            <w:r>
              <w:t xml:space="preserve">      </w:t>
            </w:r>
            <w:r w:rsidR="00BC1C20">
              <w:t>Dans les deux cas les déplacements</w:t>
            </w:r>
            <w:r w:rsidR="002A58E2">
              <w:t xml:space="preserve"> des courbes de demande ou d’offre</w:t>
            </w:r>
            <w:r w:rsidR="00BC1C20">
              <w:t xml:space="preserve"> se font vers la gauche donc provoque</w:t>
            </w:r>
            <w:r w:rsidR="00514A97">
              <w:t>nt</w:t>
            </w:r>
            <w:r w:rsidR="00BC1C20">
              <w:t xml:space="preserve"> un recul des quantités échangées.</w:t>
            </w:r>
            <w:r w:rsidR="00D90B28">
              <w:t xml:space="preserve"> On note ainsi que la lutte contre le réchauffement climatique semble avoir un impact puisque la production continue à augmenter en tendance (indice 150 en 2016 soit une hausse de la production de 50 % en 26 ans, on observe une tendance inverse pour les émissions de GES puisque celles-ci </w:t>
            </w:r>
            <w:proofErr w:type="spellStart"/>
            <w:proofErr w:type="gramStart"/>
            <w:r w:rsidR="00D90B28">
              <w:t>on</w:t>
            </w:r>
            <w:proofErr w:type="spellEnd"/>
            <w:proofErr w:type="gramEnd"/>
            <w:r w:rsidR="00D90B28">
              <w:t xml:space="preserve"> reculé en tenance de 18 % - indice 82 en 2016 base 100 en 1990.</w:t>
            </w:r>
          </w:p>
          <w:p w14:paraId="4FB54FF9" w14:textId="24B06DB4" w:rsidR="002A58E2" w:rsidRPr="002A58E2" w:rsidRDefault="002A58E2" w:rsidP="00001E79">
            <w:pPr>
              <w:rPr>
                <w:sz w:val="6"/>
                <w:szCs w:val="6"/>
              </w:rPr>
            </w:pPr>
          </w:p>
        </w:tc>
      </w:tr>
    </w:tbl>
    <w:p w14:paraId="7DB5FC0C" w14:textId="77777777" w:rsidR="000143C2" w:rsidRPr="00514A97" w:rsidRDefault="000143C2">
      <w:pPr>
        <w:rPr>
          <w:sz w:val="2"/>
          <w:szCs w:val="2"/>
        </w:rPr>
      </w:pPr>
    </w:p>
    <w:sectPr w:rsidR="000143C2" w:rsidRPr="00514A97" w:rsidSect="000143C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38E5"/>
    <w:multiLevelType w:val="hybridMultilevel"/>
    <w:tmpl w:val="92E83D58"/>
    <w:lvl w:ilvl="0" w:tplc="26CE11F8">
      <w:start w:val="2"/>
      <w:numFmt w:val="decimal"/>
      <w:lvlText w:val="%1."/>
      <w:lvlJc w:val="left"/>
      <w:pPr>
        <w:ind w:left="360" w:hanging="360"/>
      </w:pPr>
      <w:rPr>
        <w:rFonts w:hint="default"/>
        <w:b/>
        <w:color w:val="0070C0"/>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4B70049"/>
    <w:multiLevelType w:val="hybridMultilevel"/>
    <w:tmpl w:val="CAF81F24"/>
    <w:lvl w:ilvl="0" w:tplc="040C000F">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0AF5804"/>
    <w:multiLevelType w:val="hybridMultilevel"/>
    <w:tmpl w:val="23D87EE0"/>
    <w:lvl w:ilvl="0" w:tplc="41DE774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F463F3"/>
    <w:multiLevelType w:val="hybridMultilevel"/>
    <w:tmpl w:val="6E8A3670"/>
    <w:lvl w:ilvl="0" w:tplc="D776461E">
      <w:start w:val="2"/>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778183651">
    <w:abstractNumId w:val="1"/>
  </w:num>
  <w:num w:numId="2" w16cid:durableId="1297636468">
    <w:abstractNumId w:val="0"/>
  </w:num>
  <w:num w:numId="3" w16cid:durableId="921718301">
    <w:abstractNumId w:val="3"/>
  </w:num>
  <w:num w:numId="4" w16cid:durableId="16888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3C2"/>
    <w:rsid w:val="00001E79"/>
    <w:rsid w:val="00013299"/>
    <w:rsid w:val="000143C2"/>
    <w:rsid w:val="00023DC4"/>
    <w:rsid w:val="000260A5"/>
    <w:rsid w:val="000677CA"/>
    <w:rsid w:val="00091F6A"/>
    <w:rsid w:val="000E046B"/>
    <w:rsid w:val="00102E68"/>
    <w:rsid w:val="00136DC1"/>
    <w:rsid w:val="001C7A59"/>
    <w:rsid w:val="001D30F2"/>
    <w:rsid w:val="001E03F7"/>
    <w:rsid w:val="001E55B2"/>
    <w:rsid w:val="001E7300"/>
    <w:rsid w:val="00211D72"/>
    <w:rsid w:val="00243B08"/>
    <w:rsid w:val="002A3A93"/>
    <w:rsid w:val="002A58E2"/>
    <w:rsid w:val="002B49A5"/>
    <w:rsid w:val="002C6FCC"/>
    <w:rsid w:val="002F0377"/>
    <w:rsid w:val="00304F03"/>
    <w:rsid w:val="00310AF6"/>
    <w:rsid w:val="003228FE"/>
    <w:rsid w:val="00324AA5"/>
    <w:rsid w:val="003643F1"/>
    <w:rsid w:val="003760A7"/>
    <w:rsid w:val="00392C30"/>
    <w:rsid w:val="004B5929"/>
    <w:rsid w:val="004C4CC4"/>
    <w:rsid w:val="00510945"/>
    <w:rsid w:val="00514A97"/>
    <w:rsid w:val="00557027"/>
    <w:rsid w:val="00566D88"/>
    <w:rsid w:val="00567CF8"/>
    <w:rsid w:val="00593433"/>
    <w:rsid w:val="005C5001"/>
    <w:rsid w:val="00635753"/>
    <w:rsid w:val="006426A5"/>
    <w:rsid w:val="00676317"/>
    <w:rsid w:val="006A481A"/>
    <w:rsid w:val="006E5FD0"/>
    <w:rsid w:val="007525FE"/>
    <w:rsid w:val="00793E59"/>
    <w:rsid w:val="007A2F20"/>
    <w:rsid w:val="00821D08"/>
    <w:rsid w:val="008363A2"/>
    <w:rsid w:val="009B7BAC"/>
    <w:rsid w:val="00A253C9"/>
    <w:rsid w:val="00A466C6"/>
    <w:rsid w:val="00A645F9"/>
    <w:rsid w:val="00A65934"/>
    <w:rsid w:val="00A90135"/>
    <w:rsid w:val="00A94258"/>
    <w:rsid w:val="00AE33E9"/>
    <w:rsid w:val="00B12F64"/>
    <w:rsid w:val="00B26CC1"/>
    <w:rsid w:val="00B31EDA"/>
    <w:rsid w:val="00B72D1D"/>
    <w:rsid w:val="00BB495E"/>
    <w:rsid w:val="00BC1C20"/>
    <w:rsid w:val="00BC4297"/>
    <w:rsid w:val="00BF30E4"/>
    <w:rsid w:val="00C52CC5"/>
    <w:rsid w:val="00C60549"/>
    <w:rsid w:val="00C747CD"/>
    <w:rsid w:val="00C9153D"/>
    <w:rsid w:val="00D031AD"/>
    <w:rsid w:val="00D815E0"/>
    <w:rsid w:val="00D90B28"/>
    <w:rsid w:val="00D91558"/>
    <w:rsid w:val="00D968C4"/>
    <w:rsid w:val="00DD270A"/>
    <w:rsid w:val="00E0775D"/>
    <w:rsid w:val="00E41502"/>
    <w:rsid w:val="00EA2E30"/>
    <w:rsid w:val="00EE5943"/>
    <w:rsid w:val="00EF126D"/>
    <w:rsid w:val="00F108AC"/>
    <w:rsid w:val="00F461FE"/>
    <w:rsid w:val="00F556F1"/>
    <w:rsid w:val="00F826F6"/>
    <w:rsid w:val="00FA44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44D4"/>
  <w15:chartTrackingRefBased/>
  <w15:docId w15:val="{9CB55FBE-4E0D-493A-9DC3-0CAB1419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14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14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microsoft.com/office/2007/relationships/hdphoto" Target="media/hdphoto1.wd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382d681-563c-44d2-a319-80cfd600f1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11F3FA584083479972669E8798366B" ma:contentTypeVersion="14" ma:contentTypeDescription="Create a new document." ma:contentTypeScope="" ma:versionID="f3f3532e1fe2138cd49c57a6bc6e0eb3">
  <xsd:schema xmlns:xsd="http://www.w3.org/2001/XMLSchema" xmlns:xs="http://www.w3.org/2001/XMLSchema" xmlns:p="http://schemas.microsoft.com/office/2006/metadata/properties" xmlns:ns3="0382d681-563c-44d2-a319-80cfd600f139" xmlns:ns4="bf6feee9-8225-4137-a0b6-c3eeee6468cd" targetNamespace="http://schemas.microsoft.com/office/2006/metadata/properties" ma:root="true" ma:fieldsID="d1c49f559f18cd64cba0237f8f108cff" ns3:_="" ns4:_="">
    <xsd:import namespace="0382d681-563c-44d2-a319-80cfd600f139"/>
    <xsd:import namespace="bf6feee9-8225-4137-a0b6-c3eeee6468c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2d681-563c-44d2-a319-80cfd600f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feee9-8225-4137-a0b6-c3eeee6468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31AC64-269D-4308-9927-F1079768E75B}">
  <ds:schemaRefs>
    <ds:schemaRef ds:uri="http://schemas.microsoft.com/office/2006/metadata/properties"/>
    <ds:schemaRef ds:uri="http://schemas.microsoft.com/office/infopath/2007/PartnerControls"/>
    <ds:schemaRef ds:uri="0382d681-563c-44d2-a319-80cfd600f139"/>
  </ds:schemaRefs>
</ds:datastoreItem>
</file>

<file path=customXml/itemProps2.xml><?xml version="1.0" encoding="utf-8"?>
<ds:datastoreItem xmlns:ds="http://schemas.openxmlformats.org/officeDocument/2006/customXml" ds:itemID="{F4BE4258-831D-402A-8FA0-E4980B659686}">
  <ds:schemaRefs>
    <ds:schemaRef ds:uri="http://schemas.microsoft.com/sharepoint/v3/contenttype/forms"/>
  </ds:schemaRefs>
</ds:datastoreItem>
</file>

<file path=customXml/itemProps3.xml><?xml version="1.0" encoding="utf-8"?>
<ds:datastoreItem xmlns:ds="http://schemas.openxmlformats.org/officeDocument/2006/customXml" ds:itemID="{3EAC986D-5EAA-4DED-B158-07C989691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2d681-563c-44d2-a319-80cfd600f139"/>
    <ds:schemaRef ds:uri="bf6feee9-8225-4137-a0b6-c3eeee646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915</Words>
  <Characters>4526</Characters>
  <Application>Microsoft Office Word</Application>
  <DocSecurity>0</DocSecurity>
  <Lines>98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GARNAUD Michel</dc:creator>
  <cp:keywords/>
  <dc:description/>
  <cp:lastModifiedBy>GARNAUD Michel</cp:lastModifiedBy>
  <cp:revision>6</cp:revision>
  <cp:lastPrinted>2026-01-23T12:52:00Z</cp:lastPrinted>
  <dcterms:created xsi:type="dcterms:W3CDTF">2024-01-08T17:39:00Z</dcterms:created>
  <dcterms:modified xsi:type="dcterms:W3CDTF">2026-01-23T14:37:00Z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0x0101004111F3FA584083479972669E8798366B</vt:lpwstr>
  </property>
</Properties>
</file>